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 иливозникновении чрезвычайной ситуации.</w:t>
            </w:r>
            <w:br/>
            <w:br/>
            <w:r>
              <w:rPr/>
              <w:t xml:space="preserve">Перед тренировкой работникам был проведен инструктаж по темам«Правила безопасного поведения при эвакуации из помещений и зданийв чрезвычайных ситуациях» и «Соблюдение требований безопасности впериод проведения объектовой тренировки», также состоялась проверкасредств подачи звукового сигнала и путей эвакуации.</w:t>
            </w:r>
            <w:br/>
            <w:br/>
            <w:r>
              <w:rPr/>
              <w:t xml:space="preserve">В ходе учения были отработаны действия коллектива по эвакуации вслучае возникновения пожара или ЧС в здании, проверка наличиясамоспасателей у работников. Следует отметить, что плановыемероприятия в области гражданской обороны способствуют поддержаниюна высоком уровне психофизиологической готовности работников,необходимой для осуществления успешных действий по эвакуации.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2025-11-26T05:43:50+03:00</dcterms:created>
  <dcterms:modified xsi:type="dcterms:W3CDTF">2025-11-26T05:43:50+03:00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