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Ревакцинация против 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Ревакцинация против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продолжается работа попрофилактике заражения личного состава коронавируснойинфекцией.</w:t>
            </w:r>
            <w:br/>
            <w:br/>
            <w:r>
              <w:rPr/>
              <w:t xml:space="preserve">  В целях обеспечения коллективного иммунитета проведенымероприятия по иммунопрофилактике коронавирусной инфекции COVID-19.Заведующий медицинским центром Александр Борисович Муллов провелбеседу с работниками учреждения, на которой рассказал о значенииревакцинации и напомнил о мерах профилактики короновируса нарабочих местах.</w:t>
            </w:r>
            <w:br/>
            <w:br/>
            <w:r>
              <w:rPr/>
              <w:t xml:space="preserve">  Вакцинация личного состава ФГКУ «Национальныйгорноспасательный центр» началась в феврале 2021 года. И несмотряна то, что на сегодняшний момент коллектив привит полностью, длячасти его наступил срок ревакцинации. В связи с этим АлександрБорисович познакомил работников  с актуальными методическимирекомендациями Минздрава России «Порядок проведения вакцинациивзрослого населения против COVID-19» и отметил важностьревакцинации для здоровья.</w:t>
            </w:r>
            <w:br/>
            <w:br/>
            <w:r>
              <w:rPr/>
              <w:t xml:space="preserve">  Кроме того, следует отметить, что в «Национальномгорноспасательном центре» ежедневно выполняется комплекс мер попредупреждению распространения коронавирусной инфекции:проветривание, контроль температуры сотрудников, ношение масок,санитарно-профилактическая обработка помещений и т.д.</w:t>
            </w:r>
            <w:br/>
            <w:br/>
            <w:r>
              <w:rPr>
                <w:i w:val="1"/>
                <w:iCs w:val="1"/>
              </w:rPr>
              <w:t xml:space="preserve">Выписка из актуализированных временных методических рекомендацийМинздрава России «Порядок проведения вакцинации взрослого населенияпротив COVID-19»:</w:t>
            </w:r>
            <w:br/>
            <w:br/>
            <w:r>
              <w:rPr>
                <w:i w:val="1"/>
                <w:iCs w:val="1"/>
              </w:rPr>
              <w:t xml:space="preserve">«2.16. Необходимо принимать во внимание и разъяснять гражданам,что согласно рекомендациям Всемирной организации здравоохранениявакцинация против COVID-19 не может дать положительный результатПЦР-теста или лабораторного теста на наличие антигена. Вакцина неформирует у людей активного заболевания, а создает иммунный ответ.Хотя вакцинация против COVID-19 защищает человека от серьезногозаболевания и смерти, до сих пор до конца не известно, в какойстепени она предохраняет от заражения вирусом SARS-CoV-2 ипредотвращает его передачу другим людям. Чтобы защитить других исебя, необходимо соблюдать санитарные меры, в том числе соблюдениедистанции, использование масок, особенно в закрытых, многолюдныхили слабо проветриваемых помещениях.</w:t>
            </w:r>
            <w:br/>
            <w:br/>
            <w:r>
              <w:rPr>
                <w:i w:val="1"/>
                <w:iCs w:val="1"/>
              </w:rPr>
              <w:t xml:space="preserve">2.17. Вакцинация и повторная вакцинация граждан в соответствии срекомендациями Всемирной организации здравоохранения разделяется на«рутинную» и «экстренную». С учетом неблагоприятной эпидемическойситуации в Российской Федерации до достижения уровня коллективногоиммунитета осуществляется «экстренная» вакцинация.</w:t>
            </w:r>
            <w:br/>
            <w:br/>
            <w:r>
              <w:rPr>
                <w:i w:val="1"/>
                <w:iCs w:val="1"/>
              </w:rPr>
              <w:t xml:space="preserve">2.18. Принимать к сведению, что согласно международным ироссийским исследованиям устойчивый гуморальный и клеточныйиммунный ответ у лиц, переболевших новой коронавирусной инфекцией,сохраняется в течение в среднем 6 месяцев после перенесеннойинфекции с постепенным его угасанием к 9 - 12 месяцам. Кроме того,необходимо учитывать «новые» мутации вируса SARS-CoV-2, приинфицировании которыми у переболевших граждан может развитьсяинфекционный процесс из-за частичного «ускользания» штамма от ранеесформированного гуморального ответа.</w:t>
            </w:r>
            <w:br/>
            <w:br/>
            <w:r>
              <w:rPr>
                <w:i w:val="1"/>
                <w:iCs w:val="1"/>
              </w:rPr>
              <w:t xml:space="preserve">2.19. В данной связи с учетом рекомендаций Всемирной организацииздравоохранения до достижения уровня коллективного иммунитетанаселения необходимо проводить вакцинацию против новойкоронавирусной инфекции COVID-19 по эпидемическим показаниям после6 месяцев после перенесенного заболевания (в том числе у ранеевакцинированных лиц) или после 6 месяцев после предыдущейвакцинации («экстренная» вакцинация).</w:t>
            </w:r>
            <w:br/>
            <w:br/>
            <w:r>
              <w:rPr>
                <w:i w:val="1"/>
                <w:iCs w:val="1"/>
              </w:rPr>
              <w:t xml:space="preserve">2.20. После достижения необходимого целевого показателя уровняколлективного иммунитета осуществить переход на "рутинную"вакцинацию в плановом режиме, при котором вакцинация против новойкоронавирусной инфекции COVID-19 проводится через 12 месяцев послеперенесенного заболевания или предыдущей вакцинации противCOVID-19.</w:t>
            </w:r>
            <w:br/>
            <w:br/>
            <w:r>
              <w:rPr>
                <w:i w:val="1"/>
                <w:iCs w:val="1"/>
              </w:rPr>
              <w:t xml:space="preserve">При этом сохраняется право гражданина по его желанию пройтивакцинацию или повторную вакцинацию через 6 месяцев послеперенесенного заболевания или предыдущей вакцинации против новойкоронавирусной инфекции COVID-19 при наличии соответствующихвакцин.</w:t>
            </w:r>
            <w:br/>
            <w:br/>
            <w:r>
              <w:rPr>
                <w:i w:val="1"/>
                <w:iCs w:val="1"/>
              </w:rPr>
              <w:t xml:space="preserve">Решение о возврате к режиму «экстренной» вакцинации в РоссийскойФедерации или отдельных субъектах Российской Федерации принимаетсяна основании решения главного государственного санитарного врачаРоссийской Федерации или главных государственных санитарных врачейсубъектов Российской Федерации и с учетом эпидемическойситуации.</w:t>
            </w:r>
            <w:br/>
            <w:br/>
            <w:r>
              <w:rPr>
                <w:i w:val="1"/>
                <w:iCs w:val="1"/>
              </w:rPr>
              <w:t xml:space="preserve">2.21. Проводить вакцинацию против новой коронавирусной инфекцииCOVID-19 без необходимости изучения и учета данных гуморальногоиммунитета.</w:t>
            </w:r>
            <w:br/>
            <w:br/>
            <w:r>
              <w:rPr>
                <w:i w:val="1"/>
                <w:iCs w:val="1"/>
              </w:rPr>
              <w:t xml:space="preserve">В настоящий момент не существует утвержденного маркера(определенного защитного уровня антител). Работы по выработкетакого параметра находятся в стадии исследований и пока не приняты,в том числе Всемирной организацией здравоохранения.</w:t>
            </w:r>
            <w:br/>
            <w:br/>
            <w:r>
              <w:rPr>
                <w:i w:val="1"/>
                <w:iCs w:val="1"/>
              </w:rPr>
              <w:t xml:space="preserve">Имеющиеся в настоящий момент тест-системы для определенияклеточного иммунитета не могут использоваться в широком оборотеиз-за отсутствия достоверных данных по интерпретации результатовисследования (длительность защиты, ее выраженность (протективность)и степень устойчивости иммунной системы к ответу на мутациивируса).</w:t>
            </w:r>
            <w:br/>
            <w:br/>
            <w:r>
              <w:rPr>
                <w:i w:val="1"/>
                <w:iCs w:val="1"/>
              </w:rPr>
              <w:t xml:space="preserve">Кроме того, для детекции уровня клеточного иммунитета необходимопроводить тесты сразу после забора крови и только в течениикороткого (порядка 30 дней) интервала после вакцинации илиперенесенной инфекции.</w:t>
            </w:r>
            <w:br/>
            <w:br/>
            <w:r>
              <w:rPr>
                <w:i w:val="1"/>
                <w:iCs w:val="1"/>
              </w:rPr>
              <w:t xml:space="preserve">В данной связи, согласно рекомендациям Всемирной организацииздравоохранения, важно своевременно вакцинироваться вне зависимостиот наличия и количества антител IgG.</w:t>
            </w:r>
            <w:br/>
            <w:br/>
            <w:r>
              <w:rPr>
                <w:i w:val="1"/>
                <w:iCs w:val="1"/>
              </w:rPr>
              <w:t xml:space="preserve">2.22. Осуществлять вакцинацию и повторную вакцинацию противновой коронавирусной инфекции COVID-19 любой вакциной,зарегистрированной в установленном порядке, в соответствии синструкцией по медицинскому применению препарата.</w:t>
            </w:r>
            <w:br/>
            <w:br/>
            <w:r>
              <w:rPr>
                <w:i w:val="1"/>
                <w:iCs w:val="1"/>
              </w:rPr>
              <w:t xml:space="preserve">Если сразу после прохождения вакцинации (после заболевания)гражданин самостоятельно прошел исследование на наличие антителIgG, по результатам которого выявлено, что у гражданина антителаIgG не определяются, вакцинироваться повторно через 6 месяцев (свозможной заменой вакцинного препарата при его наличии). Если послеповторной вакцинации антитела IgG также не определяются, детальнообследовать пациента на наличие иммунодефицита».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2026-04-18T10:37:56+03:00</dcterms:created>
  <dcterms:modified xsi:type="dcterms:W3CDTF">2026-04-18T10:37:56+03:00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