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Ногинскомспасательного центра.</w:t>
            </w:r>
            <w:br/>
            <w:br/>
            <w:r>
              <w:rPr/>
              <w:t xml:space="preserve">Следует отметить, что это вторые соревнования, первые проходили врамках XIII Международного салона средств обеспечения безопасности«Комплексная безопасность – 2021». В прошлом году испытаниясодержали 8 упражнений, которые имитировали реальные подводныезадачи, и включали следующие задания: расположение мелких элементовв определенной последовательности, маневрирование, поиск объектов,подъем, установку объектов, обследование и ориентирование. Поитогам соревнования команда ФГКУ «Национальный горноспасательныйцентр» заняла третье место.</w:t>
            </w:r>
            <w:br/>
            <w:br/>
            <w:r>
              <w:rPr/>
              <w:t xml:space="preserve">30 мая на базе Академии гражданской защиты МЧС России стартовалсбор руководителей водолазных работ, водолазных специалистов иврачей по водолазной медицине, участниками которого также сталиработники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