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мероприятие, накотором личному составу учреждения был доведен анализ гибели итравматизма в системе МЧС России. </w:t>
            </w:r>
            <w:br/>
            <w:br/>
            <w:r>
              <w:rPr/>
              <w:t xml:space="preserve">Работникам были приведены статистические данные по общемуколичеству погибших за шесть месяцев 2022 года, рассмотреныосновные причины трагических случаев при исполнении служебныхобязанностей.</w:t>
            </w:r>
            <w:br/>
            <w:br/>
            <w:r>
              <w:rPr/>
              <w:t xml:space="preserve">Занятие прошло в рамках мероприятий, утвержденных приказомучреждения «Об организации работы по обеспечению безопасных условийи охраны труда в ФГКУ «Национальный горноспасательный центр», иявляется частью профилактики возникновения производственныхнесчастных случаев и травматизма и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2026-04-18T23:03:26+03:00</dcterms:created>
  <dcterms:modified xsi:type="dcterms:W3CDTF">2026-04-18T23:03:26+03:00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