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на открытом водоеме.</w:t>
            </w:r>
            <w:br/>
            <w:br/>
            <w:r>
              <w:rPr/>
              <w:t xml:space="preserve">В течении двух дней в поселке Темиртау на организованном полигонедля отработки навыков проведения подводно-технических работводолазная группа ВГСОБР отрабатывала практические навыки поорганизации водолазных работ. Во время тренировокводолазы-спасатели обследовали затопленные объекты, проверилиработу телеуправляемых необитаемых подводных аппаратов и переноснойбарокамеры, провели подводно-технические работы в СВУ-5. Все этапытренировочных водолазных спусков проходили под строгим медицинскимконтролем.</w:t>
            </w:r>
            <w:br/>
            <w:br/>
            <w:r>
              <w:rPr/>
              <w:t xml:space="preserve">Следует отметить, что водолазная группа ВГСОБР находится впостоянной боевой готовности, поэтому плановые погружений нужны длятого, чтобы поддерживать себя в хорошей форме и оттачиватьмастерство, кроме этого, необходимо периодически проверятьводолазное снаряжение.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2026-03-04T13:09:25+03:00</dcterms:created>
  <dcterms:modified xsi:type="dcterms:W3CDTF">2026-03-04T13:09:25+03:00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