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воинской доблести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воинской доблести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«Страницы воинской доблести».</w:t>
            </w:r>
            <w:br/>
            <w:br/>
            <w:r>
              <w:rPr/>
              <w:t xml:space="preserve">В ходе лекции было отмечено, что Россия всегда славилась своимигероями, которые, не задумываясь, вставали на защиту своей Родины иее интересов. Говоря о героизме нашего народа нельзя не упомянутьВеликую Отечественную войну, победа в которой стала ярчайшимпримером героизма народов, благодаря чему удалось переломитьнемецкий натиск и уничтожить фашизм. Слушателям былипродемонстрированы картины из военной жизни российских солдат,наиболее яркие переломные моменты из Великой Отечественной войны,портреты участников СВО, получивших звание героев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2025-11-05T12:26:18+03:00</dcterms:created>
  <dcterms:modified xsi:type="dcterms:W3CDTF">2025-11-05T12:26:18+03:00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