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 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заявления на первичную, периодическую ивнеочередную аттестации на право ведения аварийно-спасательныхработ. На основании проверки соответствия обязательным требованиям,предъявляемым при аттестации, было принято решения о первичнойаттестации одной службы ВГК. Кроме того, по итогам заседаниякомиссии все заявители успешно прошли аттестацию, в том числе 56человек прошли первичную аттестацию, 53 – периодическую, 3 –внеочередную.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