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спасателей военизированных горноспасательных частей МЧСРоссии к ведению поисково-спасательных работ».</w:t>
            </w:r>
            <w:br/>
            <w:br/>
            <w:r>
              <w:rPr/>
              <w:t xml:space="preserve">В ходе обучения были прочитаны лекции и проведены практическиезанятия по темам «Специальная (техническая) подготовка»,«Тактико-специальная подготовка», «Подготовка по связи»,«Промышленная безопасность», «Топография».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