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антикоррупционное законодательство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антикоррупционное законодательство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продолжаются занятия,посвящённые изучению требований антикоррупционногозаконодательства.</w:t>
            </w:r>
            <w:br/>
            <w:br/>
            <w:r>
              <w:rPr/>
              <w:t xml:space="preserve">На состоявшейся лекции рассмотрены практики привлечения кответственности за несоблюдение антикоррупционных ограничений изапретов. Законодательство предусматривает различные видыответственности за коррупционные правонарушения, включаядисциплинарную, административную, гражданско-правовую и уголовную.К примеру, дисциплинарные взыскания могут включать замечание,выговор или даже увольнение. В зависимости от тяжестиправонарушения, может наступить и административная или уголовнаяответственность.</w:t>
            </w:r>
            <w:br/>
            <w:br/>
            <w:r>
              <w:rPr/>
              <w:t xml:space="preserve">В целом, практика привлечения к ответственности за несоблюдениеантикоррупционных ограничений и запретов является неотъемлемойчастью работы по противодействию коррупции и направлена наобеспечение соблюдения закона и формирование антикоррупционногоповедения в учреждениях.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2025-10-09T13:31:12+03:00</dcterms:created>
  <dcterms:modified xsi:type="dcterms:W3CDTF">2025-10-09T13:31:12+03:00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