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ВГСОБР участвуют в проведении поисковыхмероприятий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ВГСОБР участвуют в проведении поисковых мероприятий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оказалисодействие следственному управлению СУ СК России по Кемеровскойобласти – Кузбассу в поисках пропавших без вести людей.</w:t>
            </w:r>
            <w:br/>
            <w:br/>
            <w:r>
              <w:rPr/>
              <w:t xml:space="preserve">Работы происходили на холодном канале Беловской ГРЭС. В мероприятиибыла задействована водолазная группа ФГКУ «Национальныйгорноспасательный центр», снаряженная современнымпоисково-спасательным оборудованием. В ходе операции водолазыобследовали дно водоема.</w:t>
            </w:r>
            <w:br/>
            <w:br/>
            <w:r>
              <w:rPr/>
              <w:t xml:space="preserve">Следует отметить, что работники ФГКУ «Национальныйгорноспасательный центр» и ранее неоднократно принимали участие воперативно-розыскных и следственных мероприятиях по всейобласти.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2025-10-09T13:43:50+03:00</dcterms:created>
  <dcterms:modified xsi:type="dcterms:W3CDTF">2025-10-09T13:43:50+03:00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