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действиям при ликвидации чрезвычайныхситуаций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05.11.202505:11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действиям при ликвидации чрезвычайных ситуаций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проведена плановаятренировка по применению сил и средств аэромобильной группировки сорганизацией доставки сил и средств ВГСОБР оперативным транспортомот мест постоянной дислокации до аэропорта города Новокузнецкапосле получения учебного сигнала о возникновении чрезвычайнойситуации на угольной шахте, расположенной в другом регионе.</w:t>
            </w:r>
            <w:br/>
            <w:br/>
            <w:r>
              <w:rPr/>
              <w:t xml:space="preserve">После введения режима «Чрезвычайная ситуация» аэромобильнаягруппировка учреждения была направлена в место ликвидации аварии,одновременно на базе ФГКУ «Национальный горноспасательный центр»была организована работа Центра поддержки принятия решений (ЦППР)для проведения инженерных расчетов и разработки рекомендаций дляобеспечения безопасного и эффективного ведения горноспасательныхработ.</w:t>
            </w:r>
            <w:br/>
            <w:br/>
            <w:r>
              <w:rPr/>
              <w:t xml:space="preserve">По итогам планового учения все поставленные Учреждением задачивыполнены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2026-05-25T05:46:47+03:00</dcterms:created>
  <dcterms:modified xsi:type="dcterms:W3CDTF">2026-05-25T05:46:47+03:00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