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1971году в г. Прокопьевск Кемеровской области. После окончанияСибирской государственной горно-металлургической академии пять летотработал в товариществе с ограниченной ответственностьюСтроительная фирма «Прокопьевскшахтострой». Прошел путь от водителядо директора управления механизации и автотранспорта. Затем работалтехническим директором управления закрытого акционерного обществаШахтостроймонтажное управление № 5.</w:t>
            </w:r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ордена «За заслуги перед Отечеством» II степени,медалью «За спасение погибавших», нагрудным знаком «Трудовая слава»III, II степени, нагрудным знаком «Шахтерская слава» III степени,медалью «За честь и мужество», медалью «За отвагу на пожаре»,памятной медалью «Маршал Василий Чуйков», памятной медалью «100 летгорноспасательной службе».</w:t>
            </w:r>
            <w:br/>
            <w:br/>
            <w:r>
              <w:rPr/>
              <w:t xml:space="preserve">В 2022 году Юрию Евдокимовичу присвоено почетной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2025-11-16T09:07:50+03:00</dcterms:created>
  <dcterms:modified xsi:type="dcterms:W3CDTF">2025-11-16T09:07:50+03:00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